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6295D" w14:textId="16F0A924" w:rsidR="00283D35" w:rsidRDefault="00283D35" w:rsidP="00283D35">
      <w:pPr>
        <w:pStyle w:val="NormalWeb"/>
        <w:rPr>
          <w:color w:val="000000"/>
        </w:rPr>
      </w:pPr>
      <w:r>
        <w:rPr>
          <w:rStyle w:val="Strong"/>
          <w:rFonts w:eastAsiaTheme="majorEastAsia"/>
          <w:color w:val="000000"/>
        </w:rPr>
        <w:t>Title:</w:t>
      </w:r>
      <w:r>
        <w:rPr>
          <w:color w:val="000000"/>
        </w:rPr>
        <w:br/>
      </w:r>
      <w:r w:rsidR="00586744" w:rsidRPr="00586744">
        <w:rPr>
          <w:rStyle w:val="Emphasis"/>
          <w:rFonts w:eastAsiaTheme="majorEastAsia"/>
          <w:b/>
          <w:bCs/>
          <w:color w:val="000000"/>
        </w:rPr>
        <w:t>DEMOGRAPHIC AND CLINICAL CHARACTERISTICS</w:t>
      </w:r>
      <w:r w:rsidR="004D068E">
        <w:rPr>
          <w:rStyle w:val="Emphasis"/>
          <w:rFonts w:eastAsiaTheme="majorEastAsia"/>
          <w:b/>
          <w:bCs/>
          <w:color w:val="000000"/>
        </w:rPr>
        <w:t xml:space="preserve"> </w:t>
      </w:r>
      <w:r w:rsidR="00586744" w:rsidRPr="00586744">
        <w:rPr>
          <w:rStyle w:val="Emphasis"/>
          <w:rFonts w:eastAsiaTheme="majorEastAsia"/>
          <w:b/>
          <w:bCs/>
          <w:color w:val="000000"/>
        </w:rPr>
        <w:t>OF SURGICALLY MANAGED PAEDIATRIC CATARACT AT KOMFO ANOKYE TEACHING HOSPITAL: A RETROSPECTIVE REVIEW (2023–2025)</w:t>
      </w:r>
    </w:p>
    <w:p w14:paraId="2F0D850A" w14:textId="01BC09F8" w:rsidR="00283D35" w:rsidRDefault="00283D35" w:rsidP="00283D35">
      <w:pPr>
        <w:pStyle w:val="NormalWeb"/>
        <w:rPr>
          <w:color w:val="000000"/>
        </w:rPr>
      </w:pPr>
      <w:r>
        <w:rPr>
          <w:rStyle w:val="Strong"/>
          <w:rFonts w:eastAsiaTheme="majorEastAsia"/>
          <w:color w:val="000000"/>
        </w:rPr>
        <w:t>Background:</w:t>
      </w:r>
      <w:r>
        <w:rPr>
          <w:color w:val="000000"/>
        </w:rPr>
        <w:br/>
        <w:t>Childhood cataract remains a leading cause of avoidable blindness in sub-Saharan Africa</w:t>
      </w:r>
      <w:r w:rsidR="00752A43">
        <w:rPr>
          <w:color w:val="000000"/>
        </w:rPr>
        <w:t>.</w:t>
      </w:r>
      <w:r w:rsidR="00CB38FD" w:rsidRPr="00CB38FD">
        <w:t xml:space="preserve"> </w:t>
      </w:r>
      <w:r w:rsidR="00CB38FD" w:rsidRPr="00CB38FD">
        <w:rPr>
          <w:color w:val="000000"/>
        </w:rPr>
        <w:t>Studies from sub-Saharan Africa highlight trauma as a disproportionately common cause compared to high-income countries, where congenital and metabolic causes dominate. However, comprehensive characterization of clinical profiles in Ghanaian children undergoing surgery is limited, despite its critical value for planning prevention, early detection, and management strategies</w:t>
      </w:r>
      <w:r w:rsidR="007912FA">
        <w:rPr>
          <w:color w:val="000000"/>
        </w:rPr>
        <w:t>.</w:t>
      </w:r>
    </w:p>
    <w:p w14:paraId="34B5A993" w14:textId="1AE95B1E" w:rsidR="00283D35" w:rsidRDefault="00283D35" w:rsidP="00283D35">
      <w:pPr>
        <w:pStyle w:val="NormalWeb"/>
        <w:rPr>
          <w:color w:val="000000"/>
        </w:rPr>
      </w:pPr>
      <w:r>
        <w:rPr>
          <w:rStyle w:val="Strong"/>
          <w:rFonts w:eastAsiaTheme="majorEastAsia"/>
          <w:color w:val="000000"/>
        </w:rPr>
        <w:t>Objective:</w:t>
      </w:r>
      <w:r>
        <w:rPr>
          <w:color w:val="000000"/>
        </w:rPr>
        <w:br/>
        <w:t xml:space="preserve">To describe the demographic </w:t>
      </w:r>
      <w:r w:rsidR="006A03D8">
        <w:rPr>
          <w:color w:val="000000"/>
        </w:rPr>
        <w:t>,</w:t>
      </w:r>
      <w:r>
        <w:rPr>
          <w:color w:val="000000"/>
        </w:rPr>
        <w:t>clinica</w:t>
      </w:r>
      <w:r w:rsidR="006A03D8">
        <w:rPr>
          <w:color w:val="000000"/>
        </w:rPr>
        <w:t>l</w:t>
      </w:r>
      <w:r w:rsidR="00765ED7">
        <w:rPr>
          <w:color w:val="000000"/>
        </w:rPr>
        <w:t>, aetiological and morp</w:t>
      </w:r>
      <w:r w:rsidR="00BD3BE7">
        <w:rPr>
          <w:color w:val="000000"/>
        </w:rPr>
        <w:t>hological spectrum</w:t>
      </w:r>
      <w:r w:rsidR="006A03D8">
        <w:rPr>
          <w:color w:val="000000"/>
        </w:rPr>
        <w:t xml:space="preserve"> </w:t>
      </w:r>
      <w:r w:rsidR="00BD3BE7">
        <w:rPr>
          <w:color w:val="000000"/>
        </w:rPr>
        <w:t xml:space="preserve">of paediatric cataracts managed surgically </w:t>
      </w:r>
      <w:r>
        <w:rPr>
          <w:color w:val="000000"/>
        </w:rPr>
        <w:t>at Komfo Anokye Teaching Hospital</w:t>
      </w:r>
      <w:r w:rsidR="00674A70">
        <w:rPr>
          <w:color w:val="000000"/>
        </w:rPr>
        <w:t xml:space="preserve"> between January 1, 2023 and June 30,2025</w:t>
      </w:r>
      <w:r w:rsidR="0019730E">
        <w:rPr>
          <w:color w:val="000000"/>
        </w:rPr>
        <w:t>.</w:t>
      </w:r>
    </w:p>
    <w:p w14:paraId="3837372E" w14:textId="62AEE6C8" w:rsidR="00283D35" w:rsidRDefault="00283D35" w:rsidP="00283D35">
      <w:pPr>
        <w:pStyle w:val="NormalWeb"/>
        <w:rPr>
          <w:color w:val="000000"/>
        </w:rPr>
      </w:pPr>
      <w:r>
        <w:rPr>
          <w:rStyle w:val="Strong"/>
          <w:rFonts w:eastAsiaTheme="majorEastAsia"/>
          <w:color w:val="000000"/>
        </w:rPr>
        <w:t>Methods:</w:t>
      </w:r>
      <w:r>
        <w:rPr>
          <w:color w:val="000000"/>
        </w:rPr>
        <w:br/>
        <w:t>We retrospectively reviewed records of all children aged 0–1</w:t>
      </w:r>
      <w:r>
        <w:rPr>
          <w:color w:val="000000"/>
        </w:rPr>
        <w:t>8</w:t>
      </w:r>
      <w:r>
        <w:rPr>
          <w:color w:val="000000"/>
        </w:rPr>
        <w:t xml:space="preserve"> years who underwent cataract surgery between January 2023 and June 2025. Extracted variables included age, gender, presenting complaint, aetiology, morphology, laterality, and associated ocular/systemic features. Descriptive analyses summarised distributions, and chi-square tests explored associations between aetiology, laterality, and morphological subtypes.</w:t>
      </w:r>
    </w:p>
    <w:p w14:paraId="2BDD9AEC" w14:textId="0BE2EA4C" w:rsidR="00044581" w:rsidRPr="00E036CD" w:rsidRDefault="00283D35" w:rsidP="00283D35">
      <w:pPr>
        <w:pStyle w:val="NormalWeb"/>
        <w:rPr>
          <w:rFonts w:eastAsiaTheme="majorEastAsia"/>
          <w:color w:val="000000"/>
        </w:rPr>
      </w:pPr>
      <w:r>
        <w:rPr>
          <w:rStyle w:val="Strong"/>
          <w:rFonts w:eastAsiaTheme="majorEastAsia"/>
          <w:color w:val="000000"/>
        </w:rPr>
        <w:t>Results:</w:t>
      </w:r>
      <w:r>
        <w:rPr>
          <w:color w:val="000000"/>
        </w:rPr>
        <w:br/>
      </w:r>
      <w:r w:rsidRPr="00EF4F2B">
        <w:rPr>
          <w:color w:val="000000"/>
        </w:rPr>
        <w:t>A total of</w:t>
      </w:r>
      <w:r w:rsidRPr="00EF4F2B">
        <w:rPr>
          <w:rStyle w:val="apple-converted-space"/>
          <w:rFonts w:eastAsiaTheme="majorEastAsia"/>
          <w:color w:val="000000"/>
        </w:rPr>
        <w:t> </w:t>
      </w:r>
      <w:r w:rsidRPr="00EF4F2B">
        <w:rPr>
          <w:rStyle w:val="Strong"/>
          <w:rFonts w:eastAsiaTheme="majorEastAsia"/>
          <w:b w:val="0"/>
          <w:bCs w:val="0"/>
          <w:color w:val="000000"/>
        </w:rPr>
        <w:t>1</w:t>
      </w:r>
      <w:r w:rsidR="00182699" w:rsidRPr="00EF4F2B">
        <w:rPr>
          <w:rStyle w:val="Strong"/>
          <w:rFonts w:eastAsiaTheme="majorEastAsia"/>
          <w:b w:val="0"/>
          <w:bCs w:val="0"/>
          <w:color w:val="000000"/>
        </w:rPr>
        <w:t>8</w:t>
      </w:r>
      <w:r w:rsidRPr="00EF4F2B">
        <w:rPr>
          <w:rStyle w:val="Strong"/>
          <w:rFonts w:eastAsiaTheme="majorEastAsia"/>
          <w:b w:val="0"/>
          <w:bCs w:val="0"/>
          <w:color w:val="000000"/>
        </w:rPr>
        <w:t>8</w:t>
      </w:r>
      <w:r w:rsidRPr="00EF4F2B">
        <w:rPr>
          <w:rStyle w:val="apple-converted-space"/>
          <w:rFonts w:eastAsiaTheme="majorEastAsia"/>
          <w:b/>
          <w:bCs/>
          <w:color w:val="000000"/>
        </w:rPr>
        <w:t> </w:t>
      </w:r>
      <w:r w:rsidRPr="00EF4F2B">
        <w:rPr>
          <w:color w:val="000000"/>
        </w:rPr>
        <w:t xml:space="preserve">children </w:t>
      </w:r>
      <w:r w:rsidR="00F260CF">
        <w:rPr>
          <w:color w:val="000000"/>
        </w:rPr>
        <w:t xml:space="preserve">who </w:t>
      </w:r>
      <w:r w:rsidRPr="00EF4F2B">
        <w:rPr>
          <w:color w:val="000000"/>
        </w:rPr>
        <w:t>underwent cata</w:t>
      </w:r>
      <w:r w:rsidR="006A0FF7">
        <w:rPr>
          <w:color w:val="000000"/>
        </w:rPr>
        <w:t>ra</w:t>
      </w:r>
      <w:r w:rsidRPr="00EF4F2B">
        <w:rPr>
          <w:color w:val="000000"/>
        </w:rPr>
        <w:t>ct surger</w:t>
      </w:r>
      <w:r w:rsidR="00182699" w:rsidRPr="00EF4F2B">
        <w:rPr>
          <w:color w:val="000000"/>
        </w:rPr>
        <w:t>y</w:t>
      </w:r>
      <w:r w:rsidRPr="00EF4F2B">
        <w:rPr>
          <w:color w:val="000000"/>
        </w:rPr>
        <w:t xml:space="preserve"> (male:female ratio</w:t>
      </w:r>
      <w:r w:rsidRPr="00EF4F2B">
        <w:rPr>
          <w:rStyle w:val="apple-converted-space"/>
          <w:rFonts w:eastAsiaTheme="majorEastAsia"/>
          <w:color w:val="000000"/>
        </w:rPr>
        <w:t> </w:t>
      </w:r>
      <w:r w:rsidRPr="00EF4F2B">
        <w:rPr>
          <w:rStyle w:val="Strong"/>
          <w:rFonts w:eastAsiaTheme="majorEastAsia"/>
          <w:b w:val="0"/>
          <w:bCs w:val="0"/>
          <w:color w:val="000000"/>
        </w:rPr>
        <w:t>[</w:t>
      </w:r>
      <w:r w:rsidR="00182699" w:rsidRPr="00EF4F2B">
        <w:rPr>
          <w:rStyle w:val="Strong"/>
          <w:rFonts w:eastAsiaTheme="majorEastAsia"/>
          <w:b w:val="0"/>
          <w:bCs w:val="0"/>
          <w:color w:val="000000"/>
        </w:rPr>
        <w:t>1.47</w:t>
      </w:r>
      <w:r w:rsidRPr="00EF4F2B">
        <w:rPr>
          <w:rStyle w:val="Strong"/>
          <w:rFonts w:eastAsiaTheme="majorEastAsia"/>
          <w:b w:val="0"/>
          <w:bCs w:val="0"/>
          <w:color w:val="000000"/>
        </w:rPr>
        <w:t>:</w:t>
      </w:r>
      <w:r w:rsidR="00182699" w:rsidRPr="00EF4F2B">
        <w:rPr>
          <w:rStyle w:val="Strong"/>
          <w:rFonts w:eastAsiaTheme="majorEastAsia"/>
          <w:b w:val="0"/>
          <w:bCs w:val="0"/>
          <w:color w:val="000000"/>
        </w:rPr>
        <w:t>1</w:t>
      </w:r>
      <w:r w:rsidRPr="00EF4F2B">
        <w:rPr>
          <w:rStyle w:val="Strong"/>
          <w:rFonts w:eastAsiaTheme="majorEastAsia"/>
          <w:b w:val="0"/>
          <w:bCs w:val="0"/>
          <w:color w:val="000000"/>
        </w:rPr>
        <w:t>]</w:t>
      </w:r>
      <w:r w:rsidRPr="00EF4F2B">
        <w:rPr>
          <w:b/>
          <w:bCs/>
          <w:color w:val="000000"/>
        </w:rPr>
        <w:t>,</w:t>
      </w:r>
      <w:r w:rsidRPr="00EF4F2B">
        <w:rPr>
          <w:color w:val="000000"/>
        </w:rPr>
        <w:t xml:space="preserve"> median age</w:t>
      </w:r>
      <w:r w:rsidRPr="00EF4F2B">
        <w:rPr>
          <w:rStyle w:val="apple-converted-space"/>
          <w:rFonts w:eastAsiaTheme="majorEastAsia"/>
          <w:color w:val="000000"/>
        </w:rPr>
        <w:t> </w:t>
      </w:r>
      <w:r w:rsidR="00182699" w:rsidRPr="00EF4F2B">
        <w:rPr>
          <w:rStyle w:val="Strong"/>
          <w:rFonts w:eastAsiaTheme="majorEastAsia"/>
          <w:b w:val="0"/>
          <w:bCs w:val="0"/>
          <w:color w:val="000000"/>
        </w:rPr>
        <w:t>4</w:t>
      </w:r>
      <w:r w:rsidRPr="00EF4F2B">
        <w:rPr>
          <w:rStyle w:val="apple-converted-space"/>
          <w:rFonts w:eastAsiaTheme="majorEastAsia"/>
          <w:color w:val="000000"/>
        </w:rPr>
        <w:t> </w:t>
      </w:r>
      <w:r w:rsidRPr="00EF4F2B">
        <w:rPr>
          <w:color w:val="000000"/>
        </w:rPr>
        <w:t xml:space="preserve">years). </w:t>
      </w:r>
      <w:r w:rsidR="00182699" w:rsidRPr="00EF4F2B">
        <w:rPr>
          <w:color w:val="000000"/>
        </w:rPr>
        <w:t>P</w:t>
      </w:r>
      <w:r w:rsidR="00182699" w:rsidRPr="00EF4F2B">
        <w:rPr>
          <w:color w:val="000000"/>
        </w:rPr>
        <w:t xml:space="preserve">oor vision </w:t>
      </w:r>
      <w:r w:rsidR="00182699" w:rsidRPr="00EF4F2B">
        <w:rPr>
          <w:b/>
          <w:bCs/>
          <w:color w:val="000000"/>
        </w:rPr>
        <w:t>(</w:t>
      </w:r>
      <w:r w:rsidR="00182699" w:rsidRPr="00EF4F2B">
        <w:rPr>
          <w:rStyle w:val="Strong"/>
          <w:rFonts w:eastAsiaTheme="majorEastAsia"/>
          <w:b w:val="0"/>
          <w:bCs w:val="0"/>
          <w:color w:val="000000"/>
        </w:rPr>
        <w:t>47.34</w:t>
      </w:r>
      <w:r w:rsidR="00182699" w:rsidRPr="00EF4F2B">
        <w:rPr>
          <w:rStyle w:val="Strong"/>
          <w:rFonts w:eastAsiaTheme="majorEastAsia"/>
          <w:b w:val="0"/>
          <w:bCs w:val="0"/>
          <w:color w:val="000000"/>
        </w:rPr>
        <w:t>%</w:t>
      </w:r>
      <w:r w:rsidR="00182699" w:rsidRPr="00EF4F2B">
        <w:rPr>
          <w:b/>
          <w:bCs/>
          <w:color w:val="000000"/>
        </w:rPr>
        <w:t>)</w:t>
      </w:r>
      <w:r w:rsidR="00182699" w:rsidRPr="00EF4F2B">
        <w:rPr>
          <w:color w:val="000000"/>
        </w:rPr>
        <w:t xml:space="preserve"> </w:t>
      </w:r>
      <w:r w:rsidR="00182699" w:rsidRPr="00EF4F2B">
        <w:rPr>
          <w:color w:val="000000"/>
        </w:rPr>
        <w:t>and l</w:t>
      </w:r>
      <w:r w:rsidRPr="00EF4F2B">
        <w:rPr>
          <w:color w:val="000000"/>
        </w:rPr>
        <w:t>eucocoria (</w:t>
      </w:r>
      <w:r w:rsidR="00182699" w:rsidRPr="00EF4F2B">
        <w:rPr>
          <w:rStyle w:val="Strong"/>
          <w:rFonts w:eastAsiaTheme="majorEastAsia"/>
          <w:b w:val="0"/>
          <w:bCs w:val="0"/>
          <w:color w:val="000000"/>
        </w:rPr>
        <w:t>38.83</w:t>
      </w:r>
      <w:r w:rsidRPr="00EF4F2B">
        <w:rPr>
          <w:rStyle w:val="Strong"/>
          <w:rFonts w:eastAsiaTheme="majorEastAsia"/>
          <w:b w:val="0"/>
          <w:bCs w:val="0"/>
          <w:color w:val="000000"/>
        </w:rPr>
        <w:t>%</w:t>
      </w:r>
      <w:r w:rsidRPr="00EF4F2B">
        <w:rPr>
          <w:b/>
          <w:bCs/>
          <w:color w:val="000000"/>
        </w:rPr>
        <w:t xml:space="preserve">) </w:t>
      </w:r>
      <w:r w:rsidR="00182699" w:rsidRPr="00EF4F2B">
        <w:rPr>
          <w:b/>
          <w:bCs/>
          <w:color w:val="000000"/>
        </w:rPr>
        <w:t xml:space="preserve"> </w:t>
      </w:r>
      <w:r w:rsidRPr="00EF4F2B">
        <w:rPr>
          <w:color w:val="000000"/>
        </w:rPr>
        <w:t>were the commonest presenting complaints. Congenital cataracts accounted for</w:t>
      </w:r>
      <w:r w:rsidRPr="00EF4F2B">
        <w:rPr>
          <w:rStyle w:val="apple-converted-space"/>
          <w:rFonts w:eastAsiaTheme="majorEastAsia"/>
          <w:color w:val="000000"/>
        </w:rPr>
        <w:t> </w:t>
      </w:r>
      <w:r w:rsidR="00182699" w:rsidRPr="00EF4F2B">
        <w:rPr>
          <w:rStyle w:val="Strong"/>
          <w:rFonts w:eastAsiaTheme="majorEastAsia"/>
          <w:b w:val="0"/>
          <w:bCs w:val="0"/>
          <w:color w:val="000000"/>
        </w:rPr>
        <w:t>51.60</w:t>
      </w:r>
      <w:r w:rsidRPr="00EF4F2B">
        <w:rPr>
          <w:rStyle w:val="Strong"/>
          <w:rFonts w:eastAsiaTheme="majorEastAsia"/>
          <w:b w:val="0"/>
          <w:bCs w:val="0"/>
          <w:color w:val="000000"/>
        </w:rPr>
        <w:t>%</w:t>
      </w:r>
      <w:r w:rsidRPr="00EF4F2B">
        <w:rPr>
          <w:b/>
          <w:bCs/>
          <w:color w:val="000000"/>
        </w:rPr>
        <w:t>,</w:t>
      </w:r>
      <w:r w:rsidRPr="00EF4F2B">
        <w:rPr>
          <w:color w:val="000000"/>
        </w:rPr>
        <w:t xml:space="preserve"> </w:t>
      </w:r>
      <w:r w:rsidR="00182699" w:rsidRPr="00EF4F2B">
        <w:rPr>
          <w:color w:val="000000"/>
        </w:rPr>
        <w:t>trauma for</w:t>
      </w:r>
      <w:r w:rsidR="00182699" w:rsidRPr="00EF4F2B">
        <w:rPr>
          <w:rStyle w:val="apple-converted-space"/>
          <w:rFonts w:eastAsiaTheme="majorEastAsia"/>
          <w:color w:val="000000"/>
        </w:rPr>
        <w:t> </w:t>
      </w:r>
      <w:r w:rsidR="00182699" w:rsidRPr="00EF4F2B">
        <w:rPr>
          <w:rStyle w:val="Strong"/>
          <w:rFonts w:eastAsiaTheme="majorEastAsia"/>
          <w:b w:val="0"/>
          <w:bCs w:val="0"/>
          <w:color w:val="000000"/>
        </w:rPr>
        <w:t>23.40%</w:t>
      </w:r>
      <w:r w:rsidR="00182699" w:rsidRPr="00EF4F2B">
        <w:rPr>
          <w:rStyle w:val="Strong"/>
          <w:rFonts w:eastAsiaTheme="majorEastAsia"/>
          <w:color w:val="000000"/>
        </w:rPr>
        <w:t xml:space="preserve"> </w:t>
      </w:r>
      <w:r w:rsidR="00182699" w:rsidRPr="00EF4F2B">
        <w:rPr>
          <w:rStyle w:val="Strong"/>
          <w:rFonts w:eastAsiaTheme="majorEastAsia"/>
          <w:b w:val="0"/>
          <w:bCs w:val="0"/>
          <w:color w:val="000000"/>
        </w:rPr>
        <w:t xml:space="preserve">and </w:t>
      </w:r>
      <w:r w:rsidR="00182699" w:rsidRPr="00EF4F2B">
        <w:rPr>
          <w:color w:val="000000"/>
        </w:rPr>
        <w:t xml:space="preserve"> </w:t>
      </w:r>
      <w:r w:rsidRPr="00EF4F2B">
        <w:rPr>
          <w:color w:val="000000"/>
        </w:rPr>
        <w:t>developmental for</w:t>
      </w:r>
      <w:r w:rsidRPr="00EF4F2B">
        <w:rPr>
          <w:rStyle w:val="apple-converted-space"/>
          <w:rFonts w:eastAsiaTheme="majorEastAsia"/>
          <w:color w:val="000000"/>
        </w:rPr>
        <w:t> </w:t>
      </w:r>
      <w:r w:rsidR="00182699" w:rsidRPr="00EF4F2B">
        <w:rPr>
          <w:rStyle w:val="Strong"/>
          <w:rFonts w:eastAsiaTheme="majorEastAsia"/>
          <w:b w:val="0"/>
          <w:bCs w:val="0"/>
          <w:color w:val="000000"/>
        </w:rPr>
        <w:t>20.74%</w:t>
      </w:r>
      <w:r w:rsidR="00EF4F2B">
        <w:rPr>
          <w:rStyle w:val="Strong"/>
          <w:rFonts w:eastAsiaTheme="majorEastAsia"/>
          <w:b w:val="0"/>
          <w:bCs w:val="0"/>
          <w:color w:val="000000"/>
        </w:rPr>
        <w:t>.</w:t>
      </w:r>
      <w:r w:rsidRPr="00EF4F2B">
        <w:rPr>
          <w:color w:val="000000"/>
        </w:rPr>
        <w:t xml:space="preserve"> Morphological</w:t>
      </w:r>
      <w:r w:rsidR="00242888">
        <w:rPr>
          <w:color w:val="000000"/>
        </w:rPr>
        <w:t>ly</w:t>
      </w:r>
      <w:r w:rsidR="00182699" w:rsidRPr="00EF4F2B">
        <w:rPr>
          <w:color w:val="000000"/>
        </w:rPr>
        <w:t xml:space="preserve">,total cataracts </w:t>
      </w:r>
      <w:r w:rsidR="002653C1">
        <w:rPr>
          <w:color w:val="000000"/>
        </w:rPr>
        <w:t>pre</w:t>
      </w:r>
      <w:r w:rsidR="00182699" w:rsidRPr="00EF4F2B">
        <w:rPr>
          <w:color w:val="000000"/>
        </w:rPr>
        <w:t>dominated (60.64%),</w:t>
      </w:r>
      <w:r w:rsidR="00AC6312">
        <w:rPr>
          <w:color w:val="000000"/>
        </w:rPr>
        <w:t xml:space="preserve"> with </w:t>
      </w:r>
      <w:r w:rsidR="00182699" w:rsidRPr="00EF4F2B">
        <w:rPr>
          <w:color w:val="000000"/>
        </w:rPr>
        <w:t>nuclear (13.83</w:t>
      </w:r>
      <w:r w:rsidRPr="00EF4F2B">
        <w:rPr>
          <w:rStyle w:val="Strong"/>
          <w:rFonts w:eastAsiaTheme="majorEastAsia"/>
          <w:color w:val="000000"/>
        </w:rPr>
        <w:t>%</w:t>
      </w:r>
      <w:r w:rsidRPr="00EF4F2B">
        <w:rPr>
          <w:color w:val="000000"/>
        </w:rPr>
        <w:t>), polar (</w:t>
      </w:r>
      <w:r w:rsidR="00182699" w:rsidRPr="00D25E59">
        <w:rPr>
          <w:rStyle w:val="Strong"/>
          <w:rFonts w:eastAsiaTheme="majorEastAsia"/>
          <w:b w:val="0"/>
          <w:bCs w:val="0"/>
          <w:color w:val="000000"/>
        </w:rPr>
        <w:t>18</w:t>
      </w:r>
      <w:r w:rsidRPr="00D25E59">
        <w:rPr>
          <w:rStyle w:val="Strong"/>
          <w:rFonts w:eastAsiaTheme="majorEastAsia"/>
          <w:b w:val="0"/>
          <w:bCs w:val="0"/>
          <w:color w:val="000000"/>
        </w:rPr>
        <w:t>%</w:t>
      </w:r>
      <w:r w:rsidRPr="00D25E59">
        <w:rPr>
          <w:b/>
          <w:bCs/>
          <w:color w:val="000000"/>
        </w:rPr>
        <w:t>),</w:t>
      </w:r>
      <w:r w:rsidR="00182699" w:rsidRPr="00EF4F2B">
        <w:rPr>
          <w:color w:val="000000"/>
        </w:rPr>
        <w:t>lamellar</w:t>
      </w:r>
      <w:r w:rsidRPr="00EF4F2B">
        <w:rPr>
          <w:color w:val="000000"/>
        </w:rPr>
        <w:t xml:space="preserve"> </w:t>
      </w:r>
      <w:r w:rsidR="00182699" w:rsidRPr="00EF4F2B">
        <w:rPr>
          <w:color w:val="000000"/>
        </w:rPr>
        <w:t>(9.04)</w:t>
      </w:r>
      <w:r w:rsidRPr="00EF4F2B">
        <w:rPr>
          <w:color w:val="000000"/>
        </w:rPr>
        <w:t>and others</w:t>
      </w:r>
      <w:r w:rsidR="00D30CC9" w:rsidRPr="00EF4F2B">
        <w:rPr>
          <w:color w:val="000000"/>
        </w:rPr>
        <w:t>(6.91%)</w:t>
      </w:r>
      <w:r w:rsidRPr="00EF4F2B">
        <w:rPr>
          <w:color w:val="000000"/>
        </w:rPr>
        <w:t>.</w:t>
      </w:r>
      <w:r w:rsidR="00D30CC9" w:rsidRPr="00EF4F2B">
        <w:rPr>
          <w:color w:val="000000"/>
        </w:rPr>
        <w:t>Laterality was roughly evenly split: bilateral (98;52.13%)and unilateral (90;47.87%)</w:t>
      </w:r>
      <w:r w:rsidR="00AC6312">
        <w:rPr>
          <w:color w:val="000000"/>
        </w:rPr>
        <w:t>.</w:t>
      </w:r>
      <w:r w:rsidRPr="00EF4F2B">
        <w:rPr>
          <w:color w:val="000000"/>
        </w:rPr>
        <w:t>Bilaterality was strongly associated with congenital cataracts (p &lt; 0.0</w:t>
      </w:r>
      <w:r w:rsidR="00D30CC9" w:rsidRPr="00EF4F2B">
        <w:rPr>
          <w:color w:val="000000"/>
        </w:rPr>
        <w:t>01</w:t>
      </w:r>
      <w:r w:rsidRPr="00EF4F2B">
        <w:rPr>
          <w:color w:val="000000"/>
        </w:rPr>
        <w:t xml:space="preserve">), while trauma was </w:t>
      </w:r>
      <w:r w:rsidR="009975F6">
        <w:rPr>
          <w:color w:val="000000"/>
        </w:rPr>
        <w:t>overwhelmingly</w:t>
      </w:r>
      <w:r w:rsidRPr="00EF4F2B">
        <w:rPr>
          <w:color w:val="000000"/>
        </w:rPr>
        <w:t xml:space="preserve"> unilateral (p &lt; 0.001). </w:t>
      </w:r>
      <w:r w:rsidR="00EF4F2B" w:rsidRPr="00EF4F2B">
        <w:rPr>
          <w:color w:val="000000"/>
        </w:rPr>
        <w:t xml:space="preserve">Nystagmus and strabismus were the most frequent, occurring predominantly with congenital cataracts (27 and 15 cases, respectively), while anterior segment dysgenesis </w:t>
      </w:r>
      <w:r w:rsidR="00EF4F2B" w:rsidRPr="00EF4F2B">
        <w:rPr>
          <w:color w:val="000000"/>
        </w:rPr>
        <w:t>,</w:t>
      </w:r>
      <w:r w:rsidR="00EF4F2B" w:rsidRPr="00EF4F2B">
        <w:rPr>
          <w:color w:val="000000"/>
        </w:rPr>
        <w:t>metabolic</w:t>
      </w:r>
      <w:r w:rsidR="00EF4F2B">
        <w:rPr>
          <w:color w:val="000000"/>
        </w:rPr>
        <w:t xml:space="preserve"> </w:t>
      </w:r>
      <w:r w:rsidR="00EF4F2B" w:rsidRPr="00EF4F2B">
        <w:rPr>
          <w:color w:val="000000"/>
        </w:rPr>
        <w:t>disorders and neurodevelopmental delay</w:t>
      </w:r>
      <w:r w:rsidRPr="00EF4F2B">
        <w:rPr>
          <w:color w:val="000000"/>
        </w:rPr>
        <w:t xml:space="preserve"> </w:t>
      </w:r>
      <w:r w:rsidR="006259DD" w:rsidRPr="00EF4F2B">
        <w:rPr>
          <w:color w:val="000000"/>
        </w:rPr>
        <w:t xml:space="preserve">were </w:t>
      </w:r>
      <w:r w:rsidR="00EF4F2B">
        <w:rPr>
          <w:color w:val="000000"/>
        </w:rPr>
        <w:t xml:space="preserve">comparatively </w:t>
      </w:r>
      <w:r w:rsidR="006259DD" w:rsidRPr="00EF4F2B">
        <w:rPr>
          <w:color w:val="000000"/>
        </w:rPr>
        <w:t>infrequent (4,3 and 3 cases respectively)</w:t>
      </w:r>
      <w:r w:rsidR="00D26F51">
        <w:rPr>
          <w:color w:val="000000"/>
        </w:rPr>
        <w:t>I</w:t>
      </w:r>
      <w:r w:rsidR="00044581" w:rsidRPr="00044581">
        <w:rPr>
          <w:color w:val="000000"/>
        </w:rPr>
        <w:t xml:space="preserve">n logistic regression, unilateral presentation </w:t>
      </w:r>
      <w:r w:rsidR="00044581">
        <w:rPr>
          <w:color w:val="000000"/>
        </w:rPr>
        <w:t xml:space="preserve">was </w:t>
      </w:r>
      <w:r w:rsidR="00C702A8">
        <w:rPr>
          <w:color w:val="000000"/>
        </w:rPr>
        <w:t xml:space="preserve">the strongest independent factor associated </w:t>
      </w:r>
      <w:r w:rsidR="00044581">
        <w:rPr>
          <w:color w:val="000000"/>
        </w:rPr>
        <w:t xml:space="preserve">with </w:t>
      </w:r>
      <w:r w:rsidR="00044581" w:rsidRPr="00044581">
        <w:rPr>
          <w:color w:val="000000"/>
        </w:rPr>
        <w:t xml:space="preserve"> traumatic </w:t>
      </w:r>
      <w:r w:rsidR="00044581">
        <w:rPr>
          <w:color w:val="000000"/>
        </w:rPr>
        <w:t xml:space="preserve">aetiology </w:t>
      </w:r>
      <w:r w:rsidR="00044581" w:rsidRPr="00044581">
        <w:rPr>
          <w:color w:val="000000"/>
        </w:rPr>
        <w:t xml:space="preserve">(OR 88.7, 95% CI 11.9–664.3, p &lt; 0.001).. Gender (male: OR 1.25, p = 0.53) and presenting with poor vision (OR 1.44, p = 0.32) </w:t>
      </w:r>
      <w:r w:rsidR="00454D2A">
        <w:rPr>
          <w:color w:val="000000"/>
        </w:rPr>
        <w:t xml:space="preserve">showed no significant relationship with traumatic </w:t>
      </w:r>
      <w:r w:rsidR="007641C6">
        <w:rPr>
          <w:color w:val="000000"/>
        </w:rPr>
        <w:t>aetiology.</w:t>
      </w:r>
    </w:p>
    <w:p w14:paraId="73C17949" w14:textId="6799DDC1" w:rsidR="002575E4" w:rsidRDefault="00283D35" w:rsidP="00C702A8">
      <w:pPr>
        <w:pStyle w:val="NormalWeb"/>
      </w:pPr>
      <w:r>
        <w:rPr>
          <w:rStyle w:val="Strong"/>
          <w:rFonts w:eastAsiaTheme="majorEastAsia"/>
          <w:color w:val="000000"/>
        </w:rPr>
        <w:t>Conclusion:</w:t>
      </w:r>
      <w:r>
        <w:rPr>
          <w:color w:val="000000"/>
        </w:rPr>
        <w:br/>
        <w:t xml:space="preserve">This review </w:t>
      </w:r>
      <w:r w:rsidR="00044581">
        <w:rPr>
          <w:color w:val="000000"/>
        </w:rPr>
        <w:t>highli</w:t>
      </w:r>
      <w:r w:rsidR="00D45C78">
        <w:rPr>
          <w:color w:val="000000"/>
        </w:rPr>
        <w:t>ghts</w:t>
      </w:r>
      <w:r w:rsidR="00044581">
        <w:rPr>
          <w:color w:val="000000"/>
        </w:rPr>
        <w:t xml:space="preserve"> </w:t>
      </w:r>
      <w:r>
        <w:rPr>
          <w:color w:val="000000"/>
        </w:rPr>
        <w:t xml:space="preserve"> two contrasting burdens of childhood cataract in Ghana: congenital cataracts, often bilateral </w:t>
      </w:r>
      <w:r w:rsidR="00E72672">
        <w:rPr>
          <w:color w:val="000000"/>
        </w:rPr>
        <w:t>and commonly associ</w:t>
      </w:r>
      <w:r w:rsidR="00014595">
        <w:rPr>
          <w:color w:val="000000"/>
        </w:rPr>
        <w:t>a</w:t>
      </w:r>
      <w:r w:rsidR="00E72672">
        <w:rPr>
          <w:color w:val="000000"/>
        </w:rPr>
        <w:t xml:space="preserve">ted with strabismus and nystagmus </w:t>
      </w:r>
      <w:r>
        <w:rPr>
          <w:color w:val="000000"/>
        </w:rPr>
        <w:t>,</w:t>
      </w:r>
      <w:r w:rsidR="00014595">
        <w:rPr>
          <w:color w:val="000000"/>
        </w:rPr>
        <w:t xml:space="preserve">and </w:t>
      </w:r>
      <w:r>
        <w:rPr>
          <w:color w:val="000000"/>
        </w:rPr>
        <w:t xml:space="preserve">traumatic cataracts, largely unilateral. Recognising these patterns underscores the importance of parental awareness of early warning signs such as leucocoria </w:t>
      </w:r>
      <w:r w:rsidR="00044581">
        <w:rPr>
          <w:color w:val="000000"/>
        </w:rPr>
        <w:t xml:space="preserve">,poor vision and strabismus </w:t>
      </w:r>
      <w:r>
        <w:rPr>
          <w:color w:val="000000"/>
        </w:rPr>
        <w:t>, alongside targeted trauma prevention. By highlighting the distinct clinical spectrum of children who reach surgery, this study provides evidence to inform</w:t>
      </w:r>
      <w:r w:rsidR="00C702A8">
        <w:rPr>
          <w:color w:val="000000"/>
        </w:rPr>
        <w:t xml:space="preserve"> both</w:t>
      </w:r>
      <w:r>
        <w:rPr>
          <w:color w:val="000000"/>
        </w:rPr>
        <w:t xml:space="preserve"> </w:t>
      </w:r>
      <w:r w:rsidR="00C702A8" w:rsidRPr="00C702A8">
        <w:rPr>
          <w:color w:val="000000"/>
        </w:rPr>
        <w:t>clinical practice and public health strategies aimed at reducing avoidable childhood blindness.</w:t>
      </w:r>
    </w:p>
    <w:sectPr w:rsidR="002575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D35"/>
    <w:rsid w:val="00014595"/>
    <w:rsid w:val="00044581"/>
    <w:rsid w:val="00182699"/>
    <w:rsid w:val="0019730E"/>
    <w:rsid w:val="00241C4B"/>
    <w:rsid w:val="00242888"/>
    <w:rsid w:val="002575E4"/>
    <w:rsid w:val="002653C1"/>
    <w:rsid w:val="00283D35"/>
    <w:rsid w:val="002F1295"/>
    <w:rsid w:val="00454D2A"/>
    <w:rsid w:val="004D068E"/>
    <w:rsid w:val="00521FEA"/>
    <w:rsid w:val="00541C33"/>
    <w:rsid w:val="00586744"/>
    <w:rsid w:val="005F1B8C"/>
    <w:rsid w:val="006259DD"/>
    <w:rsid w:val="00674A70"/>
    <w:rsid w:val="006A03D8"/>
    <w:rsid w:val="006A0FF7"/>
    <w:rsid w:val="00752A43"/>
    <w:rsid w:val="007641C6"/>
    <w:rsid w:val="00765ED7"/>
    <w:rsid w:val="00765FEF"/>
    <w:rsid w:val="00783EE2"/>
    <w:rsid w:val="007912FA"/>
    <w:rsid w:val="007E41C5"/>
    <w:rsid w:val="009975F6"/>
    <w:rsid w:val="009D5830"/>
    <w:rsid w:val="00A0166C"/>
    <w:rsid w:val="00AC6312"/>
    <w:rsid w:val="00B05A2D"/>
    <w:rsid w:val="00BB0F1E"/>
    <w:rsid w:val="00BD3BE7"/>
    <w:rsid w:val="00C702A8"/>
    <w:rsid w:val="00CB38FD"/>
    <w:rsid w:val="00D25E59"/>
    <w:rsid w:val="00D26F51"/>
    <w:rsid w:val="00D30CC9"/>
    <w:rsid w:val="00D45C78"/>
    <w:rsid w:val="00E036CD"/>
    <w:rsid w:val="00E55A8D"/>
    <w:rsid w:val="00E72672"/>
    <w:rsid w:val="00EF4F2B"/>
    <w:rsid w:val="00F260CF"/>
    <w:rsid w:val="00FC34AA"/>
  </w:rsids>
  <m:mathPr>
    <m:mathFont m:val="Cambria Math"/>
    <m:brkBin m:val="before"/>
    <m:brkBinSub m:val="--"/>
    <m:smallFrac m:val="0"/>
    <m:dispDef/>
    <m:lMargin m:val="0"/>
    <m:rMargin m:val="0"/>
    <m:defJc m:val="centerGroup"/>
    <m:wrapIndent m:val="1440"/>
    <m:intLim m:val="subSup"/>
    <m:naryLim m:val="undOvr"/>
  </m:mathPr>
  <w:themeFontLang w:val="en-GH"/>
  <w:clrSchemeMapping w:bg1="light1" w:t1="dark1" w:bg2="light2" w:t2="dark2" w:accent1="accent1" w:accent2="accent2" w:accent3="accent3" w:accent4="accent4" w:accent5="accent5" w:accent6="accent6" w:hyperlink="hyperlink" w:followedHyperlink="followedHyperlink"/>
  <w:decimalSymbol w:val="."/>
  <w:listSeparator w:val=","/>
  <w14:docId w14:val="0264DE36"/>
  <w15:chartTrackingRefBased/>
  <w15:docId w15:val="{9C0A641F-077D-1546-97DE-75BD1D8BA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3D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3D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3D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3D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3D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3D3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3D3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3D3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3D3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3D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3D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3D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3D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3D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3D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3D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3D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3D35"/>
    <w:rPr>
      <w:rFonts w:eastAsiaTheme="majorEastAsia" w:cstheme="majorBidi"/>
      <w:color w:val="272727" w:themeColor="text1" w:themeTint="D8"/>
    </w:rPr>
  </w:style>
  <w:style w:type="paragraph" w:styleId="Title">
    <w:name w:val="Title"/>
    <w:basedOn w:val="Normal"/>
    <w:next w:val="Normal"/>
    <w:link w:val="TitleChar"/>
    <w:uiPriority w:val="10"/>
    <w:qFormat/>
    <w:rsid w:val="00283D3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3D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3D3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3D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3D3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83D35"/>
    <w:rPr>
      <w:i/>
      <w:iCs/>
      <w:color w:val="404040" w:themeColor="text1" w:themeTint="BF"/>
    </w:rPr>
  </w:style>
  <w:style w:type="paragraph" w:styleId="ListParagraph">
    <w:name w:val="List Paragraph"/>
    <w:basedOn w:val="Normal"/>
    <w:uiPriority w:val="34"/>
    <w:qFormat/>
    <w:rsid w:val="00283D35"/>
    <w:pPr>
      <w:ind w:left="720"/>
      <w:contextualSpacing/>
    </w:pPr>
  </w:style>
  <w:style w:type="character" w:styleId="IntenseEmphasis">
    <w:name w:val="Intense Emphasis"/>
    <w:basedOn w:val="DefaultParagraphFont"/>
    <w:uiPriority w:val="21"/>
    <w:qFormat/>
    <w:rsid w:val="00283D35"/>
    <w:rPr>
      <w:i/>
      <w:iCs/>
      <w:color w:val="0F4761" w:themeColor="accent1" w:themeShade="BF"/>
    </w:rPr>
  </w:style>
  <w:style w:type="paragraph" w:styleId="IntenseQuote">
    <w:name w:val="Intense Quote"/>
    <w:basedOn w:val="Normal"/>
    <w:next w:val="Normal"/>
    <w:link w:val="IntenseQuoteChar"/>
    <w:uiPriority w:val="30"/>
    <w:qFormat/>
    <w:rsid w:val="00283D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3D35"/>
    <w:rPr>
      <w:i/>
      <w:iCs/>
      <w:color w:val="0F4761" w:themeColor="accent1" w:themeShade="BF"/>
    </w:rPr>
  </w:style>
  <w:style w:type="character" w:styleId="IntenseReference">
    <w:name w:val="Intense Reference"/>
    <w:basedOn w:val="DefaultParagraphFont"/>
    <w:uiPriority w:val="32"/>
    <w:qFormat/>
    <w:rsid w:val="00283D35"/>
    <w:rPr>
      <w:b/>
      <w:bCs/>
      <w:smallCaps/>
      <w:color w:val="0F4761" w:themeColor="accent1" w:themeShade="BF"/>
      <w:spacing w:val="5"/>
    </w:rPr>
  </w:style>
  <w:style w:type="paragraph" w:styleId="NormalWeb">
    <w:name w:val="Normal (Web)"/>
    <w:basedOn w:val="Normal"/>
    <w:uiPriority w:val="99"/>
    <w:unhideWhenUsed/>
    <w:rsid w:val="00283D35"/>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283D35"/>
    <w:rPr>
      <w:b/>
      <w:bCs/>
    </w:rPr>
  </w:style>
  <w:style w:type="character" w:styleId="Emphasis">
    <w:name w:val="Emphasis"/>
    <w:basedOn w:val="DefaultParagraphFont"/>
    <w:uiPriority w:val="20"/>
    <w:qFormat/>
    <w:rsid w:val="00283D35"/>
    <w:rPr>
      <w:i/>
      <w:iCs/>
    </w:rPr>
  </w:style>
  <w:style w:type="character" w:customStyle="1" w:styleId="apple-converted-space">
    <w:name w:val="apple-converted-space"/>
    <w:basedOn w:val="DefaultParagraphFont"/>
    <w:rsid w:val="00283D35"/>
  </w:style>
  <w:style w:type="paragraph" w:styleId="Revision">
    <w:name w:val="Revision"/>
    <w:hidden/>
    <w:uiPriority w:val="99"/>
    <w:semiHidden/>
    <w:rsid w:val="00D25E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1</Pages>
  <Words>393</Words>
  <Characters>2742</Characters>
  <Application>Microsoft Office Word</Application>
  <DocSecurity>0</DocSecurity>
  <Lines>66</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Pinamang Frimpong Gyamfi</dc:creator>
  <cp:keywords/>
  <dc:description/>
  <cp:lastModifiedBy>Pinamang Frimpong Gyamfi</cp:lastModifiedBy>
  <cp:revision>35</cp:revision>
  <dcterms:created xsi:type="dcterms:W3CDTF">2025-09-16T12:21:00Z</dcterms:created>
  <dcterms:modified xsi:type="dcterms:W3CDTF">2025-09-18T07:57:00Z</dcterms:modified>
</cp:coreProperties>
</file>