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685610" w14:textId="62557A5E" w:rsidR="007C4B7E" w:rsidRPr="007A03EB" w:rsidRDefault="007A03EB" w:rsidP="007A03EB">
      <w:pPr>
        <w:pStyle w:val="Heading1"/>
        <w:spacing w:before="0"/>
        <w:rPr>
          <w:rFonts w:cstheme="majorHAnsi"/>
          <w:color w:val="000000" w:themeColor="text1"/>
        </w:rPr>
      </w:pPr>
      <w:r>
        <w:rPr>
          <w:rFonts w:cstheme="majorHAnsi"/>
          <w:color w:val="000000" w:themeColor="text1"/>
        </w:rPr>
        <w:t>Pre-operative risk mitigation in cataract surgery – is there anything that can guide us?</w:t>
      </w:r>
    </w:p>
    <w:p w14:paraId="0D86647A" w14:textId="04445F10" w:rsidR="007A03EB" w:rsidRPr="007A03EB" w:rsidRDefault="007A03EB" w:rsidP="007A03EB">
      <w:pPr>
        <w:jc w:val="both"/>
        <w:rPr>
          <w:rFonts w:asciiTheme="majorHAnsi" w:hAnsiTheme="majorHAnsi" w:cstheme="majorHAnsi"/>
        </w:rPr>
      </w:pPr>
      <w:r w:rsidRPr="007A03EB">
        <w:rPr>
          <w:rFonts w:asciiTheme="majorHAnsi" w:hAnsiTheme="majorHAnsi" w:cstheme="majorHAnsi"/>
        </w:rPr>
        <w:t>Kwesi Nyan Amissah-Arthur</w:t>
      </w:r>
    </w:p>
    <w:p w14:paraId="32BA8D3D" w14:textId="25DAFF69" w:rsidR="007C4B7E" w:rsidRPr="007A03EB" w:rsidRDefault="00000000" w:rsidP="007A03EB">
      <w:pPr>
        <w:rPr>
          <w:rFonts w:ascii="Calibri" w:hAnsi="Calibri" w:cs="Calibri"/>
        </w:rPr>
      </w:pPr>
      <w:r w:rsidRPr="007A03EB">
        <w:rPr>
          <w:rFonts w:ascii="Calibri" w:hAnsi="Calibri" w:cs="Calibri"/>
        </w:rPr>
        <w:t>Background:</w:t>
      </w:r>
      <w:r w:rsidRPr="007A03EB">
        <w:rPr>
          <w:rFonts w:ascii="Calibri" w:hAnsi="Calibri" w:cs="Calibri"/>
        </w:rPr>
        <w:br/>
        <w:t>Cataract surgery is the most frequently performed ophthalmic operation worldwide, yet outcomes may be compromised in patients with co-existing ocular and systemic risk factors. Standardized pre-operative risk stratification is essential to optimize surgical planning, allocate appropriate expertise, and ensure patient safety.</w:t>
      </w:r>
      <w:r w:rsidRPr="007A03EB">
        <w:rPr>
          <w:rFonts w:ascii="Calibri" w:hAnsi="Calibri" w:cs="Calibri"/>
        </w:rPr>
        <w:br/>
      </w:r>
      <w:r w:rsidRPr="007A03EB">
        <w:rPr>
          <w:rFonts w:ascii="Calibri" w:hAnsi="Calibri" w:cs="Calibri"/>
        </w:rPr>
        <w:br/>
        <w:t>Objective:</w:t>
      </w:r>
      <w:r w:rsidRPr="007A03EB">
        <w:rPr>
          <w:rFonts w:ascii="Calibri" w:hAnsi="Calibri" w:cs="Calibri"/>
        </w:rPr>
        <w:br/>
        <w:t xml:space="preserve">This </w:t>
      </w:r>
      <w:r w:rsidR="002B313F">
        <w:rPr>
          <w:rFonts w:ascii="Calibri" w:hAnsi="Calibri" w:cs="Calibri"/>
        </w:rPr>
        <w:t>presentation</w:t>
      </w:r>
      <w:r w:rsidRPr="007A03EB">
        <w:rPr>
          <w:rFonts w:ascii="Calibri" w:hAnsi="Calibri" w:cs="Calibri"/>
        </w:rPr>
        <w:t xml:space="preserve"> evaluates a structured cataract risk stratification tool designed to identify pre-operative factors that predict intraoperative complexity and postoperative complications. The aim is to streamline patient selection for training lists,</w:t>
      </w:r>
      <w:r w:rsidR="002B313F">
        <w:rPr>
          <w:rFonts w:ascii="Calibri" w:hAnsi="Calibri" w:cs="Calibri"/>
        </w:rPr>
        <w:t xml:space="preserve"> choice of surgical approach,</w:t>
      </w:r>
      <w:r w:rsidRPr="007A03EB">
        <w:rPr>
          <w:rFonts w:ascii="Calibri" w:hAnsi="Calibri" w:cs="Calibri"/>
        </w:rPr>
        <w:t xml:space="preserve"> guide </w:t>
      </w:r>
      <w:proofErr w:type="spellStart"/>
      <w:r w:rsidRPr="007A03EB">
        <w:rPr>
          <w:rFonts w:ascii="Calibri" w:hAnsi="Calibri" w:cs="Calibri"/>
        </w:rPr>
        <w:t>anaesthesia</w:t>
      </w:r>
      <w:proofErr w:type="spellEnd"/>
      <w:r w:rsidRPr="007A03EB">
        <w:rPr>
          <w:rFonts w:ascii="Calibri" w:hAnsi="Calibri" w:cs="Calibri"/>
        </w:rPr>
        <w:t xml:space="preserve"> choices, and ensure consultant involvement where risk is high.</w:t>
      </w:r>
      <w:r w:rsidRPr="007A03EB">
        <w:rPr>
          <w:rFonts w:ascii="Calibri" w:hAnsi="Calibri" w:cs="Calibri"/>
        </w:rPr>
        <w:br/>
      </w:r>
      <w:r w:rsidRPr="007A03EB">
        <w:rPr>
          <w:rFonts w:ascii="Calibri" w:hAnsi="Calibri" w:cs="Calibri"/>
        </w:rPr>
        <w:br/>
        <w:t>Methods:</w:t>
      </w:r>
      <w:r w:rsidRPr="007A03EB">
        <w:rPr>
          <w:rFonts w:ascii="Calibri" w:hAnsi="Calibri" w:cs="Calibri"/>
        </w:rPr>
        <w:br/>
        <w:t>Patients scheduled for cataract surgery were assessed using a standardized checklist of risk factors. Factors were grouped into Category A (1 point each) and Category B (3 points each). Category A included variables such as previous vitrectomy, uveitis, poor dilation, anticoagulant use, and systemic comorbidities (e.g., COPD, psychiatric disturbance). Category B included dense cataracts, pseudoexfoliation, posterior polar cataract, phacodonesis, and 'only eye' status. Total scores stratified patients into four groups: Group 1 (0), Group 2 (1–2), Group 3 (3–5), and Group 4 (&gt;6). Groups 3 and 4 required consultant presence or direct performance.</w:t>
      </w:r>
      <w:r w:rsidRPr="007A03EB">
        <w:rPr>
          <w:rFonts w:ascii="Calibri" w:hAnsi="Calibri" w:cs="Calibri"/>
        </w:rPr>
        <w:br/>
      </w:r>
      <w:r w:rsidRPr="007A03EB">
        <w:rPr>
          <w:rFonts w:ascii="Calibri" w:hAnsi="Calibri" w:cs="Calibri"/>
        </w:rPr>
        <w:br/>
        <w:t>Results:</w:t>
      </w:r>
      <w:r w:rsidRPr="007A03EB">
        <w:rPr>
          <w:rFonts w:ascii="Calibri" w:hAnsi="Calibri" w:cs="Calibri"/>
        </w:rPr>
        <w:br/>
        <w:t xml:space="preserve">Risk stratification </w:t>
      </w:r>
      <w:r w:rsidR="007A03EB">
        <w:rPr>
          <w:rFonts w:ascii="Calibri" w:hAnsi="Calibri" w:cs="Calibri"/>
        </w:rPr>
        <w:t xml:space="preserve">can </w:t>
      </w:r>
      <w:r w:rsidRPr="007A03EB">
        <w:rPr>
          <w:rFonts w:ascii="Calibri" w:hAnsi="Calibri" w:cs="Calibri"/>
        </w:rPr>
        <w:t>successfully categorize patients into low, moderate, and high-risk groups. Patients in Groups 3 and 4 demonstrate a higher incidence of intraoperative. Implementation of th</w:t>
      </w:r>
      <w:r w:rsidR="007A03EB">
        <w:rPr>
          <w:rFonts w:ascii="Calibri" w:hAnsi="Calibri" w:cs="Calibri"/>
        </w:rPr>
        <w:t>is</w:t>
      </w:r>
      <w:r w:rsidRPr="007A03EB">
        <w:rPr>
          <w:rFonts w:ascii="Calibri" w:hAnsi="Calibri" w:cs="Calibri"/>
        </w:rPr>
        <w:t xml:space="preserve"> tool </w:t>
      </w:r>
      <w:r w:rsidR="007A03EB">
        <w:rPr>
          <w:rFonts w:ascii="Calibri" w:hAnsi="Calibri" w:cs="Calibri"/>
        </w:rPr>
        <w:t xml:space="preserve">can </w:t>
      </w:r>
      <w:r w:rsidRPr="007A03EB">
        <w:rPr>
          <w:rFonts w:ascii="Calibri" w:hAnsi="Calibri" w:cs="Calibri"/>
        </w:rPr>
        <w:t xml:space="preserve">improve allocation of complex cases to senior </w:t>
      </w:r>
      <w:r w:rsidR="007A03EB" w:rsidRPr="007A03EB">
        <w:rPr>
          <w:rFonts w:ascii="Calibri" w:hAnsi="Calibri" w:cs="Calibri"/>
        </w:rPr>
        <w:t>surgeons and</w:t>
      </w:r>
      <w:r w:rsidRPr="007A03EB">
        <w:rPr>
          <w:rFonts w:ascii="Calibri" w:hAnsi="Calibri" w:cs="Calibri"/>
        </w:rPr>
        <w:t xml:space="preserve"> reduce adverse outcomes.</w:t>
      </w:r>
      <w:r w:rsidRPr="007A03EB">
        <w:rPr>
          <w:rFonts w:ascii="Calibri" w:hAnsi="Calibri" w:cs="Calibri"/>
        </w:rPr>
        <w:br/>
      </w:r>
      <w:r w:rsidRPr="007A03EB">
        <w:rPr>
          <w:rFonts w:ascii="Calibri" w:hAnsi="Calibri" w:cs="Calibri"/>
        </w:rPr>
        <w:br/>
        <w:t>Conclusion:</w:t>
      </w:r>
      <w:r w:rsidRPr="007A03EB">
        <w:rPr>
          <w:rFonts w:ascii="Calibri" w:hAnsi="Calibri" w:cs="Calibri"/>
        </w:rPr>
        <w:br/>
        <w:t xml:space="preserve">A structured cataract risk stratification system provides a simple yet effective framework for surgical planning. It enhances patient safety, ensures appropriate </w:t>
      </w:r>
      <w:proofErr w:type="spellStart"/>
      <w:r w:rsidR="007A03EB">
        <w:rPr>
          <w:rFonts w:ascii="Calibri" w:hAnsi="Calibri" w:cs="Calibri"/>
        </w:rPr>
        <w:t>vitreo</w:t>
      </w:r>
      <w:proofErr w:type="spellEnd"/>
      <w:r w:rsidR="007A03EB">
        <w:rPr>
          <w:rFonts w:ascii="Calibri" w:hAnsi="Calibri" w:cs="Calibri"/>
        </w:rPr>
        <w:t>-retinal</w:t>
      </w:r>
      <w:r w:rsidRPr="007A03EB">
        <w:rPr>
          <w:rFonts w:ascii="Calibri" w:hAnsi="Calibri" w:cs="Calibri"/>
        </w:rPr>
        <w:t xml:space="preserve"> involvement, and facilitates targeted training opportunities. Adoption of this tool within ophthalmic surgical practice in Ghana could standardize risk management, improve surgical outcomes, and support resource allocation at both institutional and national levels.</w:t>
      </w:r>
      <w:r w:rsidRPr="007A03EB">
        <w:rPr>
          <w:rFonts w:ascii="Calibri" w:hAnsi="Calibri" w:cs="Calibri"/>
        </w:rPr>
        <w:br/>
      </w:r>
      <w:r w:rsidRPr="007A03EB">
        <w:rPr>
          <w:rFonts w:ascii="Calibri" w:hAnsi="Calibri" w:cs="Calibri"/>
        </w:rPr>
        <w:br/>
        <w:t>Keywords: Cataract surgery, risk stratification, pre-operative assessment, surgical outcomes, Ghana.</w:t>
      </w:r>
    </w:p>
    <w:sectPr w:rsidR="007C4B7E" w:rsidRPr="007A03EB"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865051488">
    <w:abstractNumId w:val="8"/>
  </w:num>
  <w:num w:numId="2" w16cid:durableId="47343947">
    <w:abstractNumId w:val="6"/>
  </w:num>
  <w:num w:numId="3" w16cid:durableId="1442458351">
    <w:abstractNumId w:val="5"/>
  </w:num>
  <w:num w:numId="4" w16cid:durableId="1680499559">
    <w:abstractNumId w:val="4"/>
  </w:num>
  <w:num w:numId="5" w16cid:durableId="1975982465">
    <w:abstractNumId w:val="7"/>
  </w:num>
  <w:num w:numId="6" w16cid:durableId="1161308749">
    <w:abstractNumId w:val="3"/>
  </w:num>
  <w:num w:numId="7" w16cid:durableId="2005476294">
    <w:abstractNumId w:val="2"/>
  </w:num>
  <w:num w:numId="8" w16cid:durableId="449013896">
    <w:abstractNumId w:val="1"/>
  </w:num>
  <w:num w:numId="9" w16cid:durableId="167183500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2B313F"/>
    <w:rsid w:val="00326F90"/>
    <w:rsid w:val="003E0108"/>
    <w:rsid w:val="007A03EB"/>
    <w:rsid w:val="007C4B7E"/>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97E6211"/>
  <w14:defaultImageDpi w14:val="300"/>
  <w15:docId w15:val="{A7B8A30E-01B2-F34D-BF4C-1D9C6ADF53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1</Pages>
  <Words>350</Words>
  <Characters>2001</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2347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Kwesi Nyan Amissah-Arthur</cp:lastModifiedBy>
  <cp:revision>3</cp:revision>
  <dcterms:created xsi:type="dcterms:W3CDTF">2013-12-23T23:15:00Z</dcterms:created>
  <dcterms:modified xsi:type="dcterms:W3CDTF">2025-09-03T09:03:00Z</dcterms:modified>
  <cp:category/>
</cp:coreProperties>
</file>