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BF271" w14:textId="77777777" w:rsidR="007A6635" w:rsidRDefault="007A6635" w:rsidP="001819B7">
      <w:r w:rsidRPr="00E40D50">
        <w:rPr>
          <w:b/>
          <w:bCs/>
        </w:rPr>
        <w:t>Title</w:t>
      </w:r>
      <w:r w:rsidRPr="007A6635">
        <w:t xml:space="preserve">: Developing Consensus Guidelines for the Screening, Diagnosis, and Management of Sickle Cell Retinopathy: A Global Delphi Study </w:t>
      </w:r>
    </w:p>
    <w:p w14:paraId="1204C235" w14:textId="746D1037" w:rsidR="000A7216" w:rsidRDefault="000A7216" w:rsidP="001819B7">
      <w:r w:rsidRPr="00E21B8F">
        <w:rPr>
          <w:b/>
          <w:bCs/>
        </w:rPr>
        <w:t>Authors</w:t>
      </w:r>
      <w:r>
        <w:t xml:space="preserve">: </w:t>
      </w:r>
      <w:r w:rsidRPr="000A7216">
        <w:t>Zulfiya E. Gbedemah</w:t>
      </w:r>
      <w:r>
        <w:t xml:space="preserve">, </w:t>
      </w:r>
      <w:r w:rsidRPr="000A7216">
        <w:t>Mohammed-Sherrif Fuseini, Lizette Mowatt, Evelyn Mensah, Kwesi Amissah-Arthur, SCRnet.</w:t>
      </w:r>
    </w:p>
    <w:p w14:paraId="3216013A" w14:textId="14575CF7" w:rsidR="00E21B8F" w:rsidRPr="00E21B8F" w:rsidRDefault="00E21B8F" w:rsidP="001819B7">
      <w:pPr>
        <w:rPr>
          <w:b/>
          <w:bCs/>
        </w:rPr>
      </w:pPr>
      <w:r>
        <w:rPr>
          <w:b/>
          <w:bCs/>
        </w:rPr>
        <w:t>Abstract</w:t>
      </w:r>
    </w:p>
    <w:p w14:paraId="3D45CBCE" w14:textId="77777777" w:rsidR="007A6635" w:rsidRDefault="007A6635" w:rsidP="001819B7">
      <w:r w:rsidRPr="00E40D50">
        <w:rPr>
          <w:b/>
          <w:bCs/>
        </w:rPr>
        <w:t>Background and Objective:</w:t>
      </w:r>
      <w:r w:rsidRPr="007A6635">
        <w:t xml:space="preserve"> Sickle cell retinopathy (SCR) is a potentially blinding complication of sickle cell disease caused by vaso-occlusion and chronic retinal ischaemia. It is particularly common among individuals with HbSC and HbSβ-thalassaemia genotypes. Despite its impact, SCR remains under-researched, with limited standardized guidance for screening and management. The Sickle Cell Retinopathy Network (SCR.net), a global network of multidisciplinary teams from countries with a high prevalence of sickle cell disease, is conducting a Delphi Study to address these gaps. Using a decolonising healthcare framework, this structured process aims to gather and refine expert opinions to build consensus where guidelines are scarce, drawing on insights from experts across sub-Saharan Africa, the Caribbean, and other high-prevalence regions. </w:t>
      </w:r>
    </w:p>
    <w:p w14:paraId="5F92CA97" w14:textId="77777777" w:rsidR="004C7CA4" w:rsidRDefault="007A6635" w:rsidP="001819B7">
      <w:r w:rsidRPr="00E40D50">
        <w:rPr>
          <w:b/>
          <w:bCs/>
        </w:rPr>
        <w:t>Aim:</w:t>
      </w:r>
      <w:r w:rsidRPr="007A6635">
        <w:t xml:space="preserve"> </w:t>
      </w:r>
      <w:r w:rsidR="004C7CA4" w:rsidRPr="004C7CA4">
        <w:t>To develop consensus-based guidelines for the screening, diagnosis, and management of sickle cell retinopathy through a global Delphi process involving ophthalmologists, haematologists, nurses, public health professionals, traditional medicine practitioners, policymakers, individuals with sickle cell disease, and caregivers.</w:t>
      </w:r>
    </w:p>
    <w:p w14:paraId="368C3699" w14:textId="5692F54E" w:rsidR="00F17F01" w:rsidRPr="00F17F01" w:rsidRDefault="00F17F01" w:rsidP="001819B7">
      <w:r w:rsidRPr="00F17F01">
        <w:rPr>
          <w:b/>
          <w:bCs/>
        </w:rPr>
        <w:t xml:space="preserve">Methods: </w:t>
      </w:r>
      <w:r w:rsidRPr="00F17F01">
        <w:t xml:space="preserve">This ongoing study </w:t>
      </w:r>
      <w:r w:rsidR="00EF6327">
        <w:t>uses</w:t>
      </w:r>
      <w:r w:rsidRPr="00F17F01">
        <w:t xml:space="preserve"> a multi-round Delphi methodology </w:t>
      </w:r>
      <w:r w:rsidR="00761FE3">
        <w:t>delivered</w:t>
      </w:r>
      <w:r w:rsidRPr="00F17F01">
        <w:t xml:space="preserve"> via anonymised online surveys </w:t>
      </w:r>
      <w:r w:rsidR="00761FE3">
        <w:t>on</w:t>
      </w:r>
      <w:r w:rsidRPr="00F17F01">
        <w:t xml:space="preserve"> Qualtrics. We aim to recruit 250–300 participants worldwide. Round 1 will </w:t>
      </w:r>
      <w:r w:rsidR="00B03283">
        <w:t>collect</w:t>
      </w:r>
      <w:r w:rsidRPr="00F17F01">
        <w:t xml:space="preserve"> both open-ended and structured responses. Subsequent rounds will refine these statements and use Likert scales to assess</w:t>
      </w:r>
      <w:r w:rsidRPr="00F17F01">
        <w:rPr>
          <w:rFonts w:hint="eastAsia"/>
        </w:rPr>
        <w:t xml:space="preserve"> levels of agreement. Consensus will be defined as </w:t>
      </w:r>
      <w:r w:rsidRPr="00F17F01">
        <w:rPr>
          <w:rFonts w:hint="eastAsia"/>
        </w:rPr>
        <w:t>≥</w:t>
      </w:r>
      <w:r w:rsidRPr="00F17F01">
        <w:rPr>
          <w:rFonts w:hint="eastAsia"/>
        </w:rPr>
        <w:t>70% agreement across domains such as screening eligibility, diagnostic methods, management options, and implementation in both low- and high-resource settings.</w:t>
      </w:r>
    </w:p>
    <w:p w14:paraId="2E8A38FF" w14:textId="079D3F26" w:rsidR="007A6635" w:rsidRPr="00C90147" w:rsidRDefault="007A6635" w:rsidP="001819B7">
      <w:pPr>
        <w:rPr>
          <w:lang w:val="en-GH"/>
        </w:rPr>
      </w:pPr>
      <w:r w:rsidRPr="00E40D50">
        <w:rPr>
          <w:b/>
          <w:bCs/>
        </w:rPr>
        <w:t>Conclusion/Significance:</w:t>
      </w:r>
      <w:r w:rsidRPr="007A6635">
        <w:t xml:space="preserve"> By integrating the perspectives of specialists, patients, caregivers, and policymakers, this Delphi process will deliver the first consensus-driven recommendations for SCR management. The guidelines developed will be contextually relevant, equitable, and responsive to the needs of those most affected, supporting global efforts to prevent vision loss in sickle cell disease.</w:t>
      </w:r>
    </w:p>
    <w:sectPr w:rsidR="007A6635" w:rsidRPr="00C901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147"/>
    <w:rsid w:val="000245BE"/>
    <w:rsid w:val="000A7216"/>
    <w:rsid w:val="000D565D"/>
    <w:rsid w:val="001819B7"/>
    <w:rsid w:val="001906A2"/>
    <w:rsid w:val="002B001F"/>
    <w:rsid w:val="002B4734"/>
    <w:rsid w:val="003C0B68"/>
    <w:rsid w:val="00470676"/>
    <w:rsid w:val="004C7CA4"/>
    <w:rsid w:val="004D51DE"/>
    <w:rsid w:val="00595A9F"/>
    <w:rsid w:val="00761FE3"/>
    <w:rsid w:val="007A6635"/>
    <w:rsid w:val="00976B2A"/>
    <w:rsid w:val="009C0023"/>
    <w:rsid w:val="00A23D31"/>
    <w:rsid w:val="00A91CAD"/>
    <w:rsid w:val="00B03283"/>
    <w:rsid w:val="00C90147"/>
    <w:rsid w:val="00D667B2"/>
    <w:rsid w:val="00E21B8F"/>
    <w:rsid w:val="00E40D50"/>
    <w:rsid w:val="00ED400E"/>
    <w:rsid w:val="00EF6327"/>
    <w:rsid w:val="00F17F01"/>
  </w:rsids>
  <m:mathPr>
    <m:mathFont m:val="Cambria Math"/>
    <m:brkBin m:val="before"/>
    <m:brkBinSub m:val="--"/>
    <m:smallFrac m:val="0"/>
    <m:dispDef/>
    <m:lMargin m:val="0"/>
    <m:rMargin m:val="0"/>
    <m:defJc m:val="centerGroup"/>
    <m:wrapIndent m:val="1440"/>
    <m:intLim m:val="subSup"/>
    <m:naryLim m:val="undOvr"/>
  </m:mathPr>
  <w:themeFontLang w:val="en-GH"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2E36E"/>
  <w15:chartTrackingRefBased/>
  <w15:docId w15:val="{7BAF4744-49CC-4545-BC40-4D40FC39E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H"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901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901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901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901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901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901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1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1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1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147"/>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C90147"/>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C90147"/>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C90147"/>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C90147"/>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C90147"/>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C90147"/>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C90147"/>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C90147"/>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C901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14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C901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147"/>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C90147"/>
    <w:pPr>
      <w:spacing w:before="160"/>
      <w:jc w:val="center"/>
    </w:pPr>
    <w:rPr>
      <w:i/>
      <w:iCs/>
      <w:color w:val="404040" w:themeColor="text1" w:themeTint="BF"/>
    </w:rPr>
  </w:style>
  <w:style w:type="character" w:customStyle="1" w:styleId="QuoteChar">
    <w:name w:val="Quote Char"/>
    <w:basedOn w:val="DefaultParagraphFont"/>
    <w:link w:val="Quote"/>
    <w:uiPriority w:val="29"/>
    <w:rsid w:val="00C90147"/>
    <w:rPr>
      <w:i/>
      <w:iCs/>
      <w:color w:val="404040" w:themeColor="text1" w:themeTint="BF"/>
      <w:lang w:val="en-GB"/>
    </w:rPr>
  </w:style>
  <w:style w:type="paragraph" w:styleId="ListParagraph">
    <w:name w:val="List Paragraph"/>
    <w:basedOn w:val="Normal"/>
    <w:uiPriority w:val="34"/>
    <w:qFormat/>
    <w:rsid w:val="00C90147"/>
    <w:pPr>
      <w:ind w:left="720"/>
      <w:contextualSpacing/>
    </w:pPr>
  </w:style>
  <w:style w:type="character" w:styleId="IntenseEmphasis">
    <w:name w:val="Intense Emphasis"/>
    <w:basedOn w:val="DefaultParagraphFont"/>
    <w:uiPriority w:val="21"/>
    <w:qFormat/>
    <w:rsid w:val="00C90147"/>
    <w:rPr>
      <w:i/>
      <w:iCs/>
      <w:color w:val="2F5496" w:themeColor="accent1" w:themeShade="BF"/>
    </w:rPr>
  </w:style>
  <w:style w:type="paragraph" w:styleId="IntenseQuote">
    <w:name w:val="Intense Quote"/>
    <w:basedOn w:val="Normal"/>
    <w:next w:val="Normal"/>
    <w:link w:val="IntenseQuoteChar"/>
    <w:uiPriority w:val="30"/>
    <w:qFormat/>
    <w:rsid w:val="00C901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90147"/>
    <w:rPr>
      <w:i/>
      <w:iCs/>
      <w:color w:val="2F5496" w:themeColor="accent1" w:themeShade="BF"/>
      <w:lang w:val="en-GB"/>
    </w:rPr>
  </w:style>
  <w:style w:type="character" w:styleId="IntenseReference">
    <w:name w:val="Intense Reference"/>
    <w:basedOn w:val="DefaultParagraphFont"/>
    <w:uiPriority w:val="32"/>
    <w:qFormat/>
    <w:rsid w:val="00C9014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Zulfiya Gbedemah</dc:creator>
  <cp:keywords/>
  <dc:description/>
  <cp:lastModifiedBy>Zulfiya Gbedemah</cp:lastModifiedBy>
  <cp:revision>17</cp:revision>
  <dcterms:created xsi:type="dcterms:W3CDTF">2025-09-03T12:16:00Z</dcterms:created>
  <dcterms:modified xsi:type="dcterms:W3CDTF">2025-09-08T18:00:00Z</dcterms:modified>
</cp:coreProperties>
</file>